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707FE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CE017B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E017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989B117" w14:textId="77777777" w:rsidR="00DB4992" w:rsidRPr="00CE017B" w:rsidRDefault="00DB4992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017B">
              <w:rPr>
                <w:rFonts w:cstheme="minorHAnsi"/>
                <w:color w:val="000000" w:themeColor="text1"/>
                <w:sz w:val="24"/>
                <w:szCs w:val="24"/>
              </w:rPr>
              <w:t>OCR GCSE Religious Studies</w:t>
            </w:r>
          </w:p>
          <w:p w14:paraId="757809B9" w14:textId="4D551150" w:rsidR="00DB4992" w:rsidRPr="00CE017B" w:rsidRDefault="00DB4992" w:rsidP="00F707F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017B">
              <w:rPr>
                <w:rFonts w:cstheme="minorHAnsi"/>
                <w:color w:val="000000" w:themeColor="text1"/>
                <w:sz w:val="24"/>
                <w:szCs w:val="24"/>
              </w:rPr>
              <w:t>H573</w:t>
            </w:r>
            <w:r w:rsidR="00F707FE" w:rsidRPr="00CE017B">
              <w:rPr>
                <w:rFonts w:cstheme="minorHAnsi"/>
                <w:color w:val="000000" w:themeColor="text1"/>
                <w:sz w:val="24"/>
                <w:szCs w:val="24"/>
              </w:rPr>
              <w:t>/06 Developments in  Buddhist Thought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707FE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707F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3FB0DB1" w14:textId="7919CB74" w:rsidR="008E39B4" w:rsidRPr="00F707FE" w:rsidRDefault="00DB4992" w:rsidP="001D13D9">
            <w:pPr>
              <w:rPr>
                <w:rFonts w:cstheme="minorHAnsi"/>
                <w:sz w:val="24"/>
                <w:szCs w:val="24"/>
              </w:rPr>
            </w:pPr>
            <w:r w:rsidRPr="00F707FE">
              <w:rPr>
                <w:rFonts w:cstheme="minorHAnsi"/>
                <w:sz w:val="24"/>
                <w:szCs w:val="24"/>
              </w:rPr>
              <w:t xml:space="preserve">In this </w:t>
            </w:r>
            <w:r w:rsidR="00CE017B">
              <w:rPr>
                <w:rFonts w:cstheme="minorHAnsi"/>
                <w:sz w:val="24"/>
                <w:szCs w:val="24"/>
              </w:rPr>
              <w:t>second</w:t>
            </w:r>
            <w:r w:rsidRPr="00F707FE">
              <w:rPr>
                <w:rFonts w:cstheme="minorHAnsi"/>
                <w:sz w:val="24"/>
                <w:szCs w:val="24"/>
              </w:rPr>
              <w:t xml:space="preserve"> year of the two year course, the focus is on </w:t>
            </w:r>
            <w:r w:rsidR="00CE017B">
              <w:rPr>
                <w:rFonts w:cstheme="minorHAnsi"/>
                <w:sz w:val="24"/>
                <w:szCs w:val="24"/>
              </w:rPr>
              <w:t>to the variety of</w:t>
            </w:r>
            <w:r w:rsidRPr="00F707FE">
              <w:rPr>
                <w:rFonts w:cstheme="minorHAnsi"/>
                <w:sz w:val="24"/>
                <w:szCs w:val="24"/>
              </w:rPr>
              <w:t xml:space="preserve"> teachings </w:t>
            </w:r>
            <w:r w:rsidR="00CE017B">
              <w:rPr>
                <w:rFonts w:cstheme="minorHAnsi"/>
                <w:sz w:val="24"/>
                <w:szCs w:val="24"/>
              </w:rPr>
              <w:t>and practices in</w:t>
            </w:r>
            <w:r w:rsidRPr="00F707FE">
              <w:rPr>
                <w:rFonts w:cstheme="minorHAnsi"/>
                <w:sz w:val="24"/>
                <w:szCs w:val="24"/>
              </w:rPr>
              <w:t xml:space="preserve"> Buddhism.</w:t>
            </w:r>
          </w:p>
          <w:p w14:paraId="4C75361B" w14:textId="2347FDC9" w:rsidR="00DB4992" w:rsidRPr="00F707FE" w:rsidRDefault="00DB4992" w:rsidP="00CE017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707FE">
              <w:rPr>
                <w:rFonts w:cstheme="minorHAnsi"/>
                <w:sz w:val="24"/>
                <w:szCs w:val="24"/>
              </w:rPr>
              <w:t xml:space="preserve">The majority of examples come from the practice of the </w:t>
            </w:r>
            <w:r w:rsidR="00CE017B">
              <w:rPr>
                <w:rFonts w:cstheme="minorHAnsi"/>
                <w:sz w:val="24"/>
                <w:szCs w:val="24"/>
              </w:rPr>
              <w:t>largest tradition, Mahayana</w:t>
            </w:r>
            <w:r w:rsidRPr="00F707F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F707FE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707F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F707F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C535C18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Bodhicitta</w:t>
            </w:r>
            <w:proofErr w:type="spellEnd"/>
          </w:p>
          <w:p w14:paraId="2029A58F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Dharmakaya</w:t>
            </w:r>
            <w:proofErr w:type="spellEnd"/>
          </w:p>
          <w:p w14:paraId="0EB8E912" w14:textId="607268C1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Engaged Buddhism</w:t>
            </w:r>
          </w:p>
          <w:p w14:paraId="37D99ED4" w14:textId="25726812" w:rsidR="0065359F" w:rsidRPr="0065359F" w:rsidRDefault="0065359F" w:rsidP="0065359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G</w:t>
            </w:r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>urudharma</w:t>
            </w:r>
            <w:proofErr w:type="spellEnd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</w:p>
          <w:p w14:paraId="14463C77" w14:textId="32AF0A67" w:rsidR="0065359F" w:rsidRPr="0065359F" w:rsidRDefault="0065359F" w:rsidP="0065359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Jōdo-shū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 / </w:t>
            </w:r>
            <w:proofErr w:type="spellStart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>Jōdo</w:t>
            </w:r>
            <w:proofErr w:type="spellEnd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  <w:proofErr w:type="spellStart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>Shinshū</w:t>
            </w:r>
            <w:proofErr w:type="spellEnd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</w:p>
          <w:p w14:paraId="76A274D5" w14:textId="77AD4295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Madhayamaka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Madhayamika</w:t>
            </w:r>
            <w:proofErr w:type="spellEnd"/>
          </w:p>
          <w:p w14:paraId="114CF22E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Nirmanakaya</w:t>
            </w:r>
            <w:proofErr w:type="spellEnd"/>
          </w:p>
          <w:p w14:paraId="0C3EDCAA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Ordination</w:t>
            </w:r>
          </w:p>
          <w:p w14:paraId="4CB2498E" w14:textId="0AD0EDC9" w:rsidR="00C94901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Paramitas</w:t>
            </w:r>
            <w:proofErr w:type="spellEnd"/>
          </w:p>
          <w:p w14:paraId="29246811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Prajnaparamita</w:t>
            </w:r>
            <w:proofErr w:type="spellEnd"/>
          </w:p>
          <w:p w14:paraId="01745972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Pure Land</w:t>
            </w:r>
          </w:p>
          <w:p w14:paraId="0B58830A" w14:textId="2116C445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Upaya</w:t>
            </w:r>
            <w:proofErr w:type="spellEnd"/>
          </w:p>
          <w:p w14:paraId="2F12DF5A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Rinzai</w:t>
            </w:r>
          </w:p>
          <w:p w14:paraId="39010ECA" w14:textId="161141B8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Sambokakaya</w:t>
            </w:r>
            <w:proofErr w:type="spellEnd"/>
          </w:p>
          <w:p w14:paraId="644BF111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Satori</w:t>
            </w:r>
          </w:p>
          <w:p w14:paraId="3A2B8ADD" w14:textId="77777777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Soto</w:t>
            </w:r>
          </w:p>
          <w:p w14:paraId="58496050" w14:textId="093B11EE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Sukavati</w:t>
            </w:r>
            <w:proofErr w:type="spellEnd"/>
          </w:p>
          <w:p w14:paraId="6C854B9A" w14:textId="4D4B57D9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Sunyata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Sunnata</w:t>
            </w:r>
            <w:proofErr w:type="spellEnd"/>
          </w:p>
          <w:p w14:paraId="68973860" w14:textId="1200CF1B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Sutra</w:t>
            </w:r>
          </w:p>
          <w:p w14:paraId="41E2F00C" w14:textId="405CB372" w:rsidR="0065359F" w:rsidRPr="0065359F" w:rsidRDefault="0065359F" w:rsidP="0065359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Svabhava</w:t>
            </w:r>
            <w:proofErr w:type="spellEnd"/>
            <w:r>
              <w:rPr>
                <w:rFonts w:cstheme="minorHAnsi"/>
                <w:bCs/>
                <w:color w:val="522A5B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S</w:t>
            </w:r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>abhava</w:t>
            </w:r>
            <w:proofErr w:type="spellEnd"/>
            <w:r w:rsidRPr="0065359F">
              <w:rPr>
                <w:rFonts w:cstheme="minorHAnsi"/>
                <w:bCs/>
                <w:color w:val="522A5B"/>
                <w:sz w:val="24"/>
                <w:szCs w:val="24"/>
              </w:rPr>
              <w:t xml:space="preserve"> </w:t>
            </w:r>
          </w:p>
          <w:p w14:paraId="441603D1" w14:textId="67982C20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color w:val="522A5B"/>
                <w:sz w:val="24"/>
                <w:szCs w:val="24"/>
              </w:rPr>
              <w:t>Trikaya</w:t>
            </w:r>
            <w:proofErr w:type="spellEnd"/>
          </w:p>
          <w:p w14:paraId="53E1ACEE" w14:textId="49809338" w:rsidR="0065359F" w:rsidRDefault="0065359F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Zen</w:t>
            </w:r>
          </w:p>
          <w:p w14:paraId="49147324" w14:textId="678A3EEC" w:rsidR="008E39B4" w:rsidRPr="00F707FE" w:rsidRDefault="008E39B4" w:rsidP="00FE54CF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</w:tr>
      <w:tr w:rsidR="008E39B4" w:rsidRPr="00F707F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CE017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CE017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ED35280" w14:textId="1F76323F" w:rsidR="00363A99" w:rsidRPr="00CE017B" w:rsidRDefault="00363A99" w:rsidP="00363A99">
            <w:pPr>
              <w:pStyle w:val="NoSpacing"/>
              <w:rPr>
                <w:sz w:val="24"/>
                <w:szCs w:val="24"/>
              </w:rPr>
            </w:pPr>
            <w:r w:rsidRPr="00CE017B">
              <w:rPr>
                <w:sz w:val="24"/>
                <w:szCs w:val="24"/>
              </w:rPr>
              <w:t xml:space="preserve">The development of Mahayana Buddhism was pivotal in the historical development of Buddhism, and the distinctive ideas and philosophy of these schools, including the </w:t>
            </w:r>
            <w:proofErr w:type="spellStart"/>
            <w:r w:rsidRPr="00CE017B">
              <w:rPr>
                <w:sz w:val="24"/>
                <w:szCs w:val="24"/>
              </w:rPr>
              <w:t>Madhyamaka</w:t>
            </w:r>
            <w:proofErr w:type="spellEnd"/>
            <w:r w:rsidRPr="00CE017B">
              <w:rPr>
                <w:sz w:val="24"/>
                <w:szCs w:val="24"/>
              </w:rPr>
              <w:t xml:space="preserve">, introducing </w:t>
            </w:r>
            <w:r w:rsidRPr="00CE017B">
              <w:rPr>
                <w:sz w:val="24"/>
                <w:szCs w:val="24"/>
              </w:rPr>
              <w:t>us</w:t>
            </w:r>
            <w:r w:rsidRPr="00CE017B">
              <w:rPr>
                <w:sz w:val="24"/>
                <w:szCs w:val="24"/>
              </w:rPr>
              <w:t xml:space="preserve"> to the truly diverse range of ideas </w:t>
            </w:r>
            <w:r w:rsidRPr="00CE017B">
              <w:rPr>
                <w:sz w:val="24"/>
                <w:szCs w:val="24"/>
              </w:rPr>
              <w:t>and traditions within Buddhism.</w:t>
            </w:r>
          </w:p>
          <w:p w14:paraId="059433A7" w14:textId="166040AA" w:rsidR="00363A99" w:rsidRPr="00CE017B" w:rsidRDefault="00363A99" w:rsidP="00363A99">
            <w:pPr>
              <w:pStyle w:val="NoSpacing"/>
              <w:rPr>
                <w:sz w:val="24"/>
                <w:szCs w:val="24"/>
              </w:rPr>
            </w:pPr>
            <w:r w:rsidRPr="00CE017B">
              <w:rPr>
                <w:sz w:val="24"/>
                <w:szCs w:val="24"/>
              </w:rPr>
              <w:t>We</w:t>
            </w:r>
            <w:r w:rsidRPr="00CE017B">
              <w:rPr>
                <w:sz w:val="24"/>
                <w:szCs w:val="24"/>
              </w:rPr>
              <w:t xml:space="preserve"> will further develop their understanding of the variety within Buddhist tradition by examining Buddhist practices and ideas in two very different cultural contexts: the Far East and the West. This will enable </w:t>
            </w:r>
            <w:r w:rsidRPr="00CE017B">
              <w:rPr>
                <w:sz w:val="24"/>
                <w:szCs w:val="24"/>
              </w:rPr>
              <w:t>us</w:t>
            </w:r>
            <w:r w:rsidRPr="00CE017B">
              <w:rPr>
                <w:sz w:val="24"/>
                <w:szCs w:val="24"/>
              </w:rPr>
              <w:t xml:space="preserve"> to investigate different interpretations of Buddhist teachings and examine the relationship between reli</w:t>
            </w:r>
            <w:r w:rsidRPr="00CE017B">
              <w:rPr>
                <w:sz w:val="24"/>
                <w:szCs w:val="24"/>
              </w:rPr>
              <w:t xml:space="preserve">gion and society. </w:t>
            </w:r>
          </w:p>
          <w:p w14:paraId="37F14F2D" w14:textId="7637A09C" w:rsidR="00363A99" w:rsidRPr="00CE017B" w:rsidRDefault="00363A99" w:rsidP="00363A99">
            <w:pPr>
              <w:pStyle w:val="NoSpacing"/>
              <w:rPr>
                <w:sz w:val="24"/>
                <w:szCs w:val="24"/>
              </w:rPr>
            </w:pPr>
            <w:r w:rsidRPr="00CE017B">
              <w:rPr>
                <w:sz w:val="24"/>
                <w:szCs w:val="24"/>
              </w:rPr>
              <w:t xml:space="preserve">This investigation continues in the topic considering </w:t>
            </w:r>
            <w:r w:rsidRPr="00CE017B">
              <w:rPr>
                <w:i/>
                <w:iCs/>
                <w:sz w:val="24"/>
                <w:szCs w:val="24"/>
              </w:rPr>
              <w:t>Engaged Buddhism and Activism</w:t>
            </w:r>
            <w:r w:rsidRPr="00CE017B">
              <w:rPr>
                <w:sz w:val="24"/>
                <w:szCs w:val="24"/>
              </w:rPr>
              <w:t>, which enables</w:t>
            </w:r>
            <w:r w:rsidRPr="00CE017B">
              <w:rPr>
                <w:sz w:val="24"/>
                <w:szCs w:val="24"/>
              </w:rPr>
              <w:t xml:space="preserve"> </w:t>
            </w:r>
            <w:proofErr w:type="spellStart"/>
            <w:r w:rsidRPr="00CE017B">
              <w:rPr>
                <w:sz w:val="24"/>
                <w:szCs w:val="24"/>
              </w:rPr>
              <w:t>us</w:t>
            </w:r>
            <w:r w:rsidRPr="00CE017B">
              <w:rPr>
                <w:sz w:val="24"/>
                <w:szCs w:val="24"/>
              </w:rPr>
              <w:t>to</w:t>
            </w:r>
            <w:proofErr w:type="spellEnd"/>
            <w:r w:rsidRPr="00CE017B">
              <w:rPr>
                <w:sz w:val="24"/>
                <w:szCs w:val="24"/>
              </w:rPr>
              <w:t xml:space="preserve"> focus on how this interesting and modern approach to Buddhism responds to issues and ideas highly relevant to learners and the world around them. </w:t>
            </w:r>
          </w:p>
          <w:p w14:paraId="1CB1CE52" w14:textId="6073F89B" w:rsidR="007B4E00" w:rsidRPr="00CE017B" w:rsidRDefault="00363A99" w:rsidP="00363A99">
            <w:pPr>
              <w:pStyle w:val="NoSpacing"/>
              <w:rPr>
                <w:sz w:val="24"/>
                <w:szCs w:val="24"/>
              </w:rPr>
            </w:pPr>
            <w:r w:rsidRPr="00CE017B">
              <w:rPr>
                <w:sz w:val="24"/>
                <w:szCs w:val="24"/>
              </w:rPr>
              <w:t xml:space="preserve">The final topic explores the changing roles of men and women across history, societies and Buddhist traditions. These issues will be familiar and relevant to </w:t>
            </w:r>
            <w:r w:rsidRPr="00CE017B">
              <w:rPr>
                <w:sz w:val="24"/>
                <w:szCs w:val="24"/>
              </w:rPr>
              <w:t>us</w:t>
            </w:r>
            <w:r w:rsidRPr="00CE017B">
              <w:rPr>
                <w:sz w:val="24"/>
                <w:szCs w:val="24"/>
              </w:rPr>
              <w:t>, and enable discussion of identity, equality, discrimination, religious freedom and the relationship between religion and society.</w:t>
            </w:r>
          </w:p>
          <w:p w14:paraId="704CD9BE" w14:textId="4F1967D9" w:rsidR="00363A99" w:rsidRPr="00CE017B" w:rsidRDefault="00363A99" w:rsidP="00363A99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707FE" w:rsidRDefault="008E39B4" w:rsidP="00FE54CF">
            <w:pPr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8E39B4" w:rsidRPr="00F707FE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CE017B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CE017B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6D3D312" w:rsidR="008E39B4" w:rsidRPr="00CE017B" w:rsidRDefault="008F5601" w:rsidP="008F56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Buddhism course is one third of the full OCR H573 GCE Religious Studies course, along with Philosophy of 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ligion and Religion and Ethics.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707FE" w:rsidRDefault="008E39B4" w:rsidP="00FE54CF">
            <w:pPr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  <w:tr w:rsidR="008E39B4" w:rsidRPr="00F707F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CE017B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CE017B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45E805AF" w:rsidR="00811F13" w:rsidRPr="00CE017B" w:rsidRDefault="00F707FE" w:rsidP="00CE01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017B">
              <w:rPr>
                <w:rFonts w:cstheme="minorHAnsi"/>
                <w:color w:val="000000" w:themeColor="text1"/>
                <w:sz w:val="24"/>
                <w:szCs w:val="24"/>
              </w:rPr>
              <w:t xml:space="preserve">There will be a number of </w:t>
            </w:r>
            <w:r w:rsidR="00CE017B" w:rsidRPr="00CE017B">
              <w:rPr>
                <w:rFonts w:cstheme="minorHAnsi"/>
                <w:color w:val="000000" w:themeColor="text1"/>
                <w:sz w:val="24"/>
                <w:szCs w:val="24"/>
              </w:rPr>
              <w:t xml:space="preserve">timed </w:t>
            </w:r>
            <w:r w:rsidRPr="00CE017B">
              <w:rPr>
                <w:rFonts w:cstheme="minorHAnsi"/>
                <w:color w:val="000000" w:themeColor="text1"/>
                <w:sz w:val="24"/>
                <w:szCs w:val="24"/>
              </w:rPr>
              <w:t>essays set through the year, marked to the OCR GCE assessment levels. There will also be a Buddhism</w:t>
            </w:r>
            <w:r w:rsidR="00CE017B" w:rsidRPr="00CE017B">
              <w:rPr>
                <w:rFonts w:cstheme="minorHAnsi"/>
                <w:color w:val="000000" w:themeColor="text1"/>
                <w:sz w:val="24"/>
                <w:szCs w:val="24"/>
              </w:rPr>
              <w:t xml:space="preserve"> question as part of the Year 13 mock exam in the Spring</w:t>
            </w:r>
            <w:r w:rsidRPr="00CE017B">
              <w:rPr>
                <w:rFonts w:cstheme="minorHAnsi"/>
                <w:color w:val="000000" w:themeColor="text1"/>
                <w:sz w:val="24"/>
                <w:szCs w:val="24"/>
              </w:rPr>
              <w:t xml:space="preserve"> term.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707FE" w:rsidRDefault="008E39B4" w:rsidP="00FE54CF">
            <w:pPr>
              <w:rPr>
                <w:rFonts w:cstheme="minorHAnsi"/>
                <w:b/>
                <w:bCs/>
                <w:szCs w:val="24"/>
                <w:u w:val="single"/>
              </w:rPr>
            </w:pPr>
          </w:p>
        </w:tc>
      </w:tr>
    </w:tbl>
    <w:p w14:paraId="42B3A29B" w14:textId="49864984" w:rsidR="0053445E" w:rsidRPr="00F707FE" w:rsidRDefault="00DC10AB" w:rsidP="008E39B4">
      <w:pPr>
        <w:rPr>
          <w:sz w:val="20"/>
        </w:rPr>
      </w:pPr>
    </w:p>
    <w:sectPr w:rsidR="0053445E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79916" w14:textId="77777777" w:rsidR="00EE7523" w:rsidRDefault="00EE7523" w:rsidP="00017B74">
      <w:pPr>
        <w:spacing w:after="0" w:line="240" w:lineRule="auto"/>
      </w:pPr>
      <w:r>
        <w:separator/>
      </w:r>
    </w:p>
  </w:endnote>
  <w:endnote w:type="continuationSeparator" w:id="0">
    <w:p w14:paraId="1AC9013B" w14:textId="77777777" w:rsidR="00EE7523" w:rsidRDefault="00EE752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BF42" w14:textId="77777777" w:rsidR="00EE7523" w:rsidRDefault="00EE7523" w:rsidP="00017B74">
      <w:pPr>
        <w:spacing w:after="0" w:line="240" w:lineRule="auto"/>
      </w:pPr>
      <w:r>
        <w:separator/>
      </w:r>
    </w:p>
  </w:footnote>
  <w:footnote w:type="continuationSeparator" w:id="0">
    <w:p w14:paraId="57F2CCE8" w14:textId="77777777" w:rsidR="00EE7523" w:rsidRDefault="00EE752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2A91"/>
    <w:rsid w:val="0007415F"/>
    <w:rsid w:val="001548FE"/>
    <w:rsid w:val="001D13D9"/>
    <w:rsid w:val="00226D23"/>
    <w:rsid w:val="002B0167"/>
    <w:rsid w:val="00363A99"/>
    <w:rsid w:val="003E6B6F"/>
    <w:rsid w:val="00440E6C"/>
    <w:rsid w:val="00487E07"/>
    <w:rsid w:val="005D1A82"/>
    <w:rsid w:val="005F4E99"/>
    <w:rsid w:val="0065359F"/>
    <w:rsid w:val="006C4486"/>
    <w:rsid w:val="007146EF"/>
    <w:rsid w:val="007B4E00"/>
    <w:rsid w:val="00811F13"/>
    <w:rsid w:val="0083335D"/>
    <w:rsid w:val="00847F4E"/>
    <w:rsid w:val="00854244"/>
    <w:rsid w:val="00867D25"/>
    <w:rsid w:val="008B1952"/>
    <w:rsid w:val="008E39B4"/>
    <w:rsid w:val="008F5601"/>
    <w:rsid w:val="00A23F48"/>
    <w:rsid w:val="00A314F1"/>
    <w:rsid w:val="00AF5189"/>
    <w:rsid w:val="00B57E3E"/>
    <w:rsid w:val="00BA646E"/>
    <w:rsid w:val="00C94901"/>
    <w:rsid w:val="00CA59AB"/>
    <w:rsid w:val="00CE017B"/>
    <w:rsid w:val="00D05E6C"/>
    <w:rsid w:val="00DB0006"/>
    <w:rsid w:val="00DB4992"/>
    <w:rsid w:val="00DC10AB"/>
    <w:rsid w:val="00DC23A5"/>
    <w:rsid w:val="00E5371A"/>
    <w:rsid w:val="00E87E19"/>
    <w:rsid w:val="00EE0048"/>
    <w:rsid w:val="00EE7523"/>
    <w:rsid w:val="00F43D58"/>
    <w:rsid w:val="00F707FE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db6ebab5-839e-43ac-9637-1ed162d817be"/>
    <ds:schemaRef ds:uri="http://schemas.openxmlformats.org/package/2006/metadata/core-properties"/>
    <ds:schemaRef ds:uri="http://schemas.microsoft.com/office/infopath/2007/PartnerControls"/>
    <ds:schemaRef ds:uri="3b96900b-a214-4892-9d1c-0b56059bc47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MYAPP</cp:lastModifiedBy>
  <cp:revision>2</cp:revision>
  <cp:lastPrinted>2022-06-06T11:04:00Z</cp:lastPrinted>
  <dcterms:created xsi:type="dcterms:W3CDTF">2022-06-28T08:05:00Z</dcterms:created>
  <dcterms:modified xsi:type="dcterms:W3CDTF">2022-06-28T08:05:00Z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